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600" w:lineRule="exact"/>
        <w:rPr>
          <w:rFonts w:hint="eastAsia" w:ascii="Times New Roman"/>
          <w:b w:val="0"/>
          <w:bCs w:val="0"/>
          <w:lang w:val="en-US" w:eastAsia="zh-CN"/>
        </w:rPr>
      </w:pPr>
      <w:r>
        <w:rPr>
          <w:rFonts w:hint="eastAsia" w:ascii="Times New Roman"/>
          <w:b w:val="0"/>
          <w:bCs w:val="0"/>
          <w:lang w:eastAsia="zh-CN"/>
        </w:rPr>
        <w:t>附件</w:t>
      </w:r>
      <w:r>
        <w:rPr>
          <w:rFonts w:hint="eastAsia" w:ascii="Times New Roman"/>
          <w:b w:val="0"/>
          <w:bCs w:val="0"/>
          <w:lang w:val="en-US" w:eastAsia="zh-CN"/>
        </w:rPr>
        <w:t>1</w:t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快检车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配置和改装</w:t>
      </w:r>
    </w:p>
    <w:p>
      <w:pPr>
        <w:pStyle w:val="3"/>
        <w:spacing w:before="0" w:after="0" w:line="600" w:lineRule="exact"/>
        <w:rPr>
          <w:rFonts w:ascii="Times New Roman" w:hAnsi="Times New Roman"/>
        </w:rPr>
      </w:pPr>
      <w:r>
        <w:rPr>
          <w:rFonts w:hint="eastAsia" w:ascii="Times New Roman"/>
          <w:lang w:eastAsia="zh-CN"/>
        </w:rPr>
        <w:t>一、</w:t>
      </w:r>
      <w:r>
        <w:rPr>
          <w:rFonts w:ascii="Times New Roman"/>
        </w:rPr>
        <w:t>车型选择</w:t>
      </w:r>
    </w:p>
    <w:p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用</w:t>
      </w:r>
      <w:r>
        <w:rPr>
          <w:rFonts w:hint="eastAsia" w:eastAsia="仿宋_GB2312"/>
          <w:sz w:val="32"/>
          <w:szCs w:val="32"/>
          <w:lang w:eastAsia="zh-CN"/>
        </w:rPr>
        <w:t>奥德赛</w:t>
      </w:r>
      <w:r>
        <w:rPr>
          <w:rFonts w:eastAsia="仿宋_GB2312"/>
          <w:sz w:val="32"/>
          <w:szCs w:val="32"/>
        </w:rPr>
        <w:t>为基础改装的“简便快捷型”快检车，可持C1驾照驾驶，搭载快检产品，并设置实验操作台。</w:t>
      </w:r>
    </w:p>
    <w:p/>
    <w:p>
      <w:pPr>
        <w:jc w:val="center"/>
      </w:pP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drawing>
          <wp:inline distT="0" distB="0" distL="114300" distR="114300">
            <wp:extent cx="6080760" cy="2467610"/>
            <wp:effectExtent l="0" t="0" r="15240" b="8890"/>
            <wp:docPr id="2" name="图片 2" descr="微信图片_2017110918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71109180132.jpg"/>
                    <pic:cNvPicPr>
                      <a:picLocks noChangeAspect="1"/>
                    </pic:cNvPicPr>
                  </pic:nvPicPr>
                  <pic:blipFill>
                    <a:blip r:embed="rId4"/>
                    <a:srcRect l="5138" t="29269" r="4951" b="19496"/>
                    <a:stretch>
                      <a:fillRect/>
                    </a:stretch>
                  </pic:blipFill>
                  <pic:spPr>
                    <a:xfrm>
                      <a:off x="0" y="0"/>
                      <a:ext cx="6080760" cy="2467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</w:t>
      </w:r>
      <w:r>
        <w:rPr>
          <w:rFonts w:eastAsia="仿宋_GB2312"/>
          <w:sz w:val="32"/>
          <w:szCs w:val="32"/>
        </w:rPr>
        <w:drawing>
          <wp:inline distT="0" distB="0" distL="114300" distR="114300">
            <wp:extent cx="3848100" cy="3210560"/>
            <wp:effectExtent l="0" t="0" r="0" b="8890"/>
            <wp:docPr id="1" name="图片 1" descr="2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-6.jpg"/>
                    <pic:cNvPicPr>
                      <a:picLocks noChangeAspect="1"/>
                    </pic:cNvPicPr>
                  </pic:nvPicPr>
                  <pic:blipFill>
                    <a:blip r:embed="rId5"/>
                    <a:srcRect l="21129" t="25784" r="21838" b="15904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210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before="0" w:after="0" w:line="600" w:lineRule="exact"/>
        <w:rPr>
          <w:rFonts w:ascii="Times New Roman" w:hAnsi="Times New Roman" w:eastAsia="黑体"/>
        </w:rPr>
      </w:pPr>
      <w:r>
        <w:rPr>
          <w:rFonts w:hint="eastAsia" w:ascii="Times New Roman"/>
          <w:lang w:eastAsia="zh-CN"/>
        </w:rPr>
        <w:t>二、</w:t>
      </w:r>
      <w:r>
        <w:rPr>
          <w:rFonts w:ascii="Times New Roman"/>
        </w:rPr>
        <w:t>车辆外观</w:t>
      </w:r>
      <w:r>
        <w:rPr>
          <w:rFonts w:ascii="Times New Roman" w:hAnsi="Times New Roman" w:eastAsia="黑体"/>
        </w:rPr>
        <w:t xml:space="preserve"> 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车辆的外观底色为“白色”或“银色”；车体左右两侧喷涂“深圳食品药品监督”标识、“食品安全快速检测”字样及花纹；车头盖喷涂“深圳食品药品监督”标识；标识和字样为“公安蓝色”，字体采用文鼎大黑体。外观要求参考上图。</w:t>
      </w:r>
    </w:p>
    <w:p>
      <w:pPr>
        <w:pStyle w:val="3"/>
        <w:spacing w:before="0" w:after="0" w:line="600" w:lineRule="exact"/>
        <w:rPr>
          <w:rFonts w:ascii="Times New Roman" w:hAnsi="Times New Roman"/>
        </w:rPr>
      </w:pPr>
      <w:bookmarkStart w:id="0" w:name="_Toc498441574"/>
      <w:bookmarkStart w:id="1" w:name="_Toc498442924"/>
      <w:bookmarkStart w:id="2" w:name="_Toc498442983"/>
      <w:bookmarkStart w:id="3" w:name="_Toc498097833"/>
      <w:bookmarkStart w:id="4" w:name="_Toc498444557"/>
      <w:r>
        <w:rPr>
          <w:rFonts w:hint="eastAsia" w:ascii="Times New Roman"/>
          <w:lang w:eastAsia="zh-CN"/>
        </w:rPr>
        <w:t>三、</w:t>
      </w:r>
      <w:r>
        <w:rPr>
          <w:rFonts w:ascii="Times New Roman"/>
        </w:rPr>
        <w:t>改装方案</w:t>
      </w:r>
      <w:bookmarkEnd w:id="0"/>
      <w:bookmarkEnd w:id="1"/>
      <w:bookmarkEnd w:id="2"/>
      <w:bookmarkEnd w:id="3"/>
      <w:bookmarkEnd w:id="4"/>
      <w:r>
        <w:rPr>
          <w:rFonts w:ascii="Times New Roman" w:hAnsi="Times New Roman"/>
        </w:rPr>
        <w:t xml:space="preserve"> </w:t>
      </w:r>
    </w:p>
    <w:p>
      <w:pPr>
        <w:spacing w:line="600" w:lineRule="exact"/>
        <w:ind w:firstLine="640" w:firstLineChars="200"/>
        <w:rPr>
          <w:rFonts w:eastAsia="楷体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针对快检车工作特征，共形成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种改装方案供参考，</w:t>
      </w:r>
      <w:r>
        <w:rPr>
          <w:rFonts w:hAnsi="楷体" w:eastAsia="楷体"/>
          <w:b/>
          <w:sz w:val="32"/>
          <w:szCs w:val="32"/>
        </w:rPr>
        <w:t>实际改装方案需要改装厂根据车型、装备的快检产品等进行调整。</w:t>
      </w:r>
    </w:p>
    <w:p>
      <w:pPr>
        <w:jc w:val="center"/>
        <w:rPr>
          <w:rFonts w:hAnsi="华文楷体" w:eastAsia="华文楷体"/>
          <w:b/>
          <w:sz w:val="32"/>
          <w:szCs w:val="32"/>
        </w:rPr>
      </w:pPr>
    </w:p>
    <w:p>
      <w:pPr>
        <w:jc w:val="center"/>
        <w:rPr>
          <w:rFonts w:eastAsia="华文楷体"/>
          <w:b/>
          <w:sz w:val="32"/>
          <w:szCs w:val="32"/>
        </w:rPr>
      </w:pPr>
      <w:r>
        <w:rPr>
          <w:rFonts w:hAnsi="华文楷体" w:eastAsia="华文楷体"/>
          <w:b/>
          <w:sz w:val="32"/>
          <w:szCs w:val="32"/>
        </w:rPr>
        <w:t>方案</w:t>
      </w:r>
      <w:r>
        <w:rPr>
          <w:rFonts w:eastAsia="华文楷体"/>
          <w:b/>
          <w:sz w:val="32"/>
          <w:szCs w:val="32"/>
        </w:rPr>
        <w:t xml:space="preserve">1 </w:t>
      </w:r>
      <w:r>
        <w:rPr>
          <w:rFonts w:hAnsi="华文楷体" w:eastAsia="华文楷体"/>
          <w:b/>
          <w:sz w:val="32"/>
          <w:szCs w:val="32"/>
        </w:rPr>
        <w:t>奥德赛车型</w:t>
      </w:r>
    </w:p>
    <w:p>
      <w:pPr>
        <w:jc w:val="left"/>
        <w:rPr>
          <w:rFonts w:eastAsia="华文楷体"/>
          <w:b/>
          <w:sz w:val="32"/>
          <w:szCs w:val="32"/>
        </w:rPr>
      </w:pPr>
      <w:r>
        <w:rPr>
          <w:rFonts w:eastAsia="华文楷体"/>
          <w:b/>
          <w:sz w:val="32"/>
          <w:szCs w:val="32"/>
        </w:rPr>
        <w:drawing>
          <wp:inline distT="0" distB="0" distL="114300" distR="114300">
            <wp:extent cx="2573020" cy="1953260"/>
            <wp:effectExtent l="0" t="0" r="17780" b="8890"/>
            <wp:docPr id="3" name="图片 3" descr="C:\Users\wuzc1\AppData\Local\Temp\WeChat Files\40887765989606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wuzc1\AppData\Local\Temp\WeChat Files\40887765989606832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3020" cy="1953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华文楷体"/>
          <w:b/>
          <w:sz w:val="32"/>
          <w:szCs w:val="32"/>
        </w:rPr>
        <w:drawing>
          <wp:inline distT="0" distB="0" distL="114300" distR="114300">
            <wp:extent cx="2573020" cy="1924685"/>
            <wp:effectExtent l="0" t="0" r="17780" b="18415"/>
            <wp:docPr id="4" name="图片 4" descr="C:\Users\wuzc1\AppData\Local\Temp\WeChat Files\377121588749407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wuzc1\AppData\Local\Temp\WeChat Files\377121588749407506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3020" cy="1924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eastAsia="华文楷体"/>
          <w:b/>
          <w:sz w:val="32"/>
          <w:szCs w:val="32"/>
        </w:rPr>
      </w:pPr>
      <w:r>
        <w:rPr>
          <w:rFonts w:eastAsia="华文楷体"/>
          <w:b/>
          <w:sz w:val="32"/>
          <w:szCs w:val="32"/>
        </w:rPr>
        <w:drawing>
          <wp:inline distT="0" distB="0" distL="114300" distR="114300">
            <wp:extent cx="4134485" cy="2458720"/>
            <wp:effectExtent l="0" t="0" r="18415" b="177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4485" cy="2458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eastAsia="华文楷体"/>
          <w:b/>
          <w:sz w:val="32"/>
          <w:szCs w:val="32"/>
        </w:rPr>
      </w:pPr>
      <w:r>
        <w:rPr>
          <w:rFonts w:hAnsi="华文楷体" w:eastAsia="华文楷体"/>
          <w:b/>
          <w:sz w:val="32"/>
          <w:szCs w:val="32"/>
        </w:rPr>
        <w:t>方案</w:t>
      </w:r>
      <w:r>
        <w:rPr>
          <w:rFonts w:eastAsia="华文楷体"/>
          <w:b/>
          <w:sz w:val="32"/>
          <w:szCs w:val="32"/>
        </w:rPr>
        <w:t>1</w:t>
      </w:r>
      <w:r>
        <w:rPr>
          <w:rFonts w:hAnsi="华文楷体" w:eastAsia="华文楷体"/>
          <w:b/>
          <w:sz w:val="32"/>
          <w:szCs w:val="32"/>
        </w:rPr>
        <w:t>改装配置表</w:t>
      </w:r>
    </w:p>
    <w:tbl>
      <w:tblPr>
        <w:tblStyle w:val="4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2565"/>
        <w:gridCol w:w="2126"/>
        <w:gridCol w:w="2348"/>
        <w:gridCol w:w="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"/>
                <w:b/>
                <w:bCs/>
                <w:kern w:val="0"/>
                <w:sz w:val="24"/>
              </w:rPr>
            </w:pPr>
            <w:r>
              <w:rPr>
                <w:rFonts w:hAnsi="楷体" w:eastAsia="楷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"/>
                <w:b/>
                <w:bCs/>
                <w:kern w:val="0"/>
                <w:sz w:val="24"/>
              </w:rPr>
            </w:pPr>
            <w:r>
              <w:rPr>
                <w:rFonts w:hAnsi="楷体" w:eastAsia="楷体"/>
                <w:b/>
                <w:bCs/>
                <w:kern w:val="0"/>
                <w:sz w:val="24"/>
              </w:rPr>
              <w:t>功能分类</w:t>
            </w:r>
          </w:p>
        </w:tc>
        <w:tc>
          <w:tcPr>
            <w:tcW w:w="447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"/>
                <w:b/>
                <w:bCs/>
                <w:kern w:val="0"/>
                <w:sz w:val="24"/>
              </w:rPr>
            </w:pPr>
            <w:r>
              <w:rPr>
                <w:rFonts w:hAnsi="楷体" w:eastAsia="楷体"/>
                <w:b/>
                <w:bCs/>
                <w:kern w:val="0"/>
                <w:sz w:val="24"/>
              </w:rPr>
              <w:t>设备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"/>
                <w:b/>
                <w:bCs/>
                <w:kern w:val="0"/>
                <w:sz w:val="24"/>
              </w:rPr>
            </w:pPr>
            <w:r>
              <w:rPr>
                <w:rFonts w:hAnsi="楷体" w:eastAsia="楷体"/>
                <w:b/>
                <w:bCs/>
                <w:kern w:val="0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  <w:tblHeader/>
          <w:jc w:val="center"/>
        </w:trPr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车型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奥德赛</w:t>
            </w:r>
          </w:p>
        </w:tc>
        <w:tc>
          <w:tcPr>
            <w:tcW w:w="2348" w:type="dxa"/>
            <w:shd w:val="clear" w:color="auto" w:fill="auto"/>
            <w:vAlign w:val="center"/>
          </w:tcPr>
          <w:p>
            <w:pPr>
              <w:pStyle w:val="2"/>
              <w:spacing w:before="0" w:after="0" w:line="240" w:lineRule="auto"/>
              <w:jc w:val="left"/>
              <w:rPr>
                <w:rFonts w:ascii="Times New Roman" w:hAnsi="Times New Roman" w:eastAsia="仿宋_GB2312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  <w:tblHeader/>
          <w:jc w:val="center"/>
        </w:trPr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安全系统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接地电缆</w:t>
            </w:r>
          </w:p>
        </w:tc>
        <w:tc>
          <w:tcPr>
            <w:tcW w:w="23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铜带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tblHeader/>
          <w:jc w:val="center"/>
        </w:trPr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56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供配电系统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/</w:t>
            </w:r>
          </w:p>
        </w:tc>
        <w:tc>
          <w:tcPr>
            <w:tcW w:w="23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前后双镜头行车记录仪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10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市电转换系统</w:t>
            </w:r>
          </w:p>
        </w:tc>
        <w:tc>
          <w:tcPr>
            <w:tcW w:w="23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/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110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一体电源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（逆变充电器）</w:t>
            </w:r>
          </w:p>
        </w:tc>
        <w:tc>
          <w:tcPr>
            <w:tcW w:w="23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CS1040L、1000W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110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56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电瓶</w:t>
            </w:r>
          </w:p>
        </w:tc>
        <w:tc>
          <w:tcPr>
            <w:tcW w:w="23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松下、120Ah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110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56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外接插座</w:t>
            </w:r>
          </w:p>
        </w:tc>
        <w:tc>
          <w:tcPr>
            <w:tcW w:w="23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航插、Y50DX1203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110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56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电源控制板</w:t>
            </w:r>
          </w:p>
        </w:tc>
        <w:tc>
          <w:tcPr>
            <w:tcW w:w="23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开关式、简易控制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110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56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插座</w:t>
            </w:r>
          </w:p>
        </w:tc>
        <w:tc>
          <w:tcPr>
            <w:tcW w:w="23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四联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110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56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线缆盘</w:t>
            </w:r>
          </w:p>
        </w:tc>
        <w:tc>
          <w:tcPr>
            <w:tcW w:w="23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3×2mm</w:t>
            </w:r>
            <w:r>
              <w:rPr>
                <w:rFonts w:eastAsia="仿宋_GB2312"/>
                <w:kern w:val="0"/>
                <w:sz w:val="24"/>
                <w:vertAlign w:val="superscript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>、30米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28575</wp:posOffset>
                  </wp:positionV>
                  <wp:extent cx="657225" cy="0"/>
                  <wp:effectExtent l="0" t="0" r="0" b="0"/>
                  <wp:wrapNone/>
                  <wp:docPr id="6" name="Picture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9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仿宋_GB2312"/>
                <w:kern w:val="0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28575</wp:posOffset>
                  </wp:positionV>
                  <wp:extent cx="657225" cy="0"/>
                  <wp:effectExtent l="0" t="0" r="0" b="0"/>
                  <wp:wrapNone/>
                  <wp:docPr id="7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9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仿宋_GB2312"/>
                <w:kern w:val="0"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28575</wp:posOffset>
                  </wp:positionV>
                  <wp:extent cx="657225" cy="0"/>
                  <wp:effectExtent l="0" t="0" r="0" b="0"/>
                  <wp:wrapNone/>
                  <wp:docPr id="8" name="Picture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8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仿宋_GB2312"/>
                <w:kern w:val="0"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28575</wp:posOffset>
                  </wp:positionV>
                  <wp:extent cx="657225" cy="0"/>
                  <wp:effectExtent l="0" t="0" r="0" b="0"/>
                  <wp:wrapNone/>
                  <wp:docPr id="9" name="Pictur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8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仿宋_GB2312"/>
                <w:kern w:val="0"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28575</wp:posOffset>
                  </wp:positionV>
                  <wp:extent cx="657225" cy="0"/>
                  <wp:effectExtent l="0" t="0" r="0" b="0"/>
                  <wp:wrapNone/>
                  <wp:docPr id="10" name="Picture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8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仿宋_GB2312"/>
                <w:kern w:val="0"/>
                <w:sz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28575</wp:posOffset>
                  </wp:positionV>
                  <wp:extent cx="657225" cy="0"/>
                  <wp:effectExtent l="0" t="0" r="0" b="0"/>
                  <wp:wrapNone/>
                  <wp:docPr id="11" name="Picture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8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仿宋_GB2312"/>
                <w:kern w:val="0"/>
                <w:sz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28575</wp:posOffset>
                  </wp:positionV>
                  <wp:extent cx="657225" cy="0"/>
                  <wp:effectExtent l="0" t="0" r="0" b="0"/>
                  <wp:wrapNone/>
                  <wp:docPr id="12" name="Picture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8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仿宋_GB2312"/>
                <w:kern w:val="0"/>
                <w:sz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28575</wp:posOffset>
                  </wp:positionV>
                  <wp:extent cx="657225" cy="0"/>
                  <wp:effectExtent l="0" t="0" r="0" b="0"/>
                  <wp:wrapNone/>
                  <wp:docPr id="13" name="Picture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28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仿宋_GB2312"/>
                <w:kern w:val="0"/>
                <w:sz w:val="24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28575</wp:posOffset>
                  </wp:positionV>
                  <wp:extent cx="657225" cy="0"/>
                  <wp:effectExtent l="0" t="0" r="0" b="0"/>
                  <wp:wrapNone/>
                  <wp:docPr id="14" name="Picture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8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仿宋_GB2312"/>
                <w:kern w:val="0"/>
                <w:sz w:val="24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28575</wp:posOffset>
                  </wp:positionV>
                  <wp:extent cx="657225" cy="0"/>
                  <wp:effectExtent l="0" t="0" r="0" b="0"/>
                  <wp:wrapNone/>
                  <wp:docPr id="15" name="Picture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28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仿宋_GB2312"/>
                <w:kern w:val="0"/>
                <w:sz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28575</wp:posOffset>
                  </wp:positionV>
                  <wp:extent cx="657225" cy="0"/>
                  <wp:effectExtent l="0" t="0" r="0" b="0"/>
                  <wp:wrapNone/>
                  <wp:docPr id="16" name="Picture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28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仿宋_GB2312"/>
                <w:kern w:val="0"/>
                <w:sz w:val="24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28575</wp:posOffset>
                  </wp:positionV>
                  <wp:extent cx="657225" cy="0"/>
                  <wp:effectExtent l="0" t="0" r="0" b="0"/>
                  <wp:wrapNone/>
                  <wp:docPr id="17" name="Picture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8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仿宋_GB2312"/>
                <w:kern w:val="0"/>
                <w:sz w:val="24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28575</wp:posOffset>
                  </wp:positionV>
                  <wp:extent cx="657225" cy="0"/>
                  <wp:effectExtent l="0" t="0" r="0" b="0"/>
                  <wp:wrapNone/>
                  <wp:docPr id="18" name="Picture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27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仿宋_GB2312"/>
                <w:kern w:val="0"/>
                <w:sz w:val="24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28575</wp:posOffset>
                  </wp:positionV>
                  <wp:extent cx="657225" cy="0"/>
                  <wp:effectExtent l="0" t="0" r="0" b="0"/>
                  <wp:wrapNone/>
                  <wp:docPr id="19" name="Picture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27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仿宋_GB2312"/>
                <w:kern w:val="0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56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车体内外部改制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组合箱</w:t>
            </w:r>
          </w:p>
        </w:tc>
        <w:tc>
          <w:tcPr>
            <w:tcW w:w="23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不锈钢、1040×550×1040mm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110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卷帘门</w:t>
            </w:r>
          </w:p>
        </w:tc>
        <w:tc>
          <w:tcPr>
            <w:tcW w:w="23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550×1100mm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110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台面</w:t>
            </w:r>
          </w:p>
        </w:tc>
        <w:tc>
          <w:tcPr>
            <w:tcW w:w="23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理化板、1100×1100mm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110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理化板、700×400mm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110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56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地板加强</w:t>
            </w:r>
          </w:p>
        </w:tc>
        <w:tc>
          <w:tcPr>
            <w:tcW w:w="23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第三排地板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110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56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地板革</w:t>
            </w:r>
          </w:p>
        </w:tc>
        <w:tc>
          <w:tcPr>
            <w:tcW w:w="23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防水汽车地板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110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56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地板</w:t>
            </w:r>
          </w:p>
        </w:tc>
        <w:tc>
          <w:tcPr>
            <w:tcW w:w="23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铝花纹板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56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辅助装备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灭火器</w:t>
            </w:r>
          </w:p>
        </w:tc>
        <w:tc>
          <w:tcPr>
            <w:tcW w:w="23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1KG，干粉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110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56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辅材</w:t>
            </w:r>
          </w:p>
        </w:tc>
        <w:tc>
          <w:tcPr>
            <w:tcW w:w="23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线束、胶等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1套</w:t>
            </w:r>
          </w:p>
        </w:tc>
      </w:tr>
    </w:tbl>
    <w:p>
      <w:pPr>
        <w:jc w:val="center"/>
        <w:rPr>
          <w:rFonts w:eastAsia="华文楷体"/>
          <w:b/>
          <w:sz w:val="32"/>
          <w:szCs w:val="32"/>
        </w:rPr>
      </w:pPr>
      <w:r>
        <w:rPr>
          <w:rFonts w:hAnsi="华文楷体" w:eastAsia="华文楷体"/>
          <w:b/>
          <w:sz w:val="32"/>
          <w:szCs w:val="32"/>
        </w:rPr>
        <w:t>方案</w:t>
      </w:r>
      <w:r>
        <w:rPr>
          <w:rFonts w:eastAsia="华文楷体"/>
          <w:b/>
          <w:sz w:val="32"/>
          <w:szCs w:val="32"/>
        </w:rPr>
        <w:t>2</w:t>
      </w:r>
    </w:p>
    <w:p>
      <w:pPr>
        <w:jc w:val="both"/>
        <w:rPr>
          <w:rFonts w:eastAsia="华文楷体"/>
          <w:b/>
          <w:sz w:val="32"/>
          <w:szCs w:val="32"/>
        </w:rPr>
      </w:pPr>
      <w:r>
        <w:rPr>
          <w:rFonts w:hint="eastAsia" w:eastAsia="华文楷体"/>
          <w:b/>
          <w:sz w:val="32"/>
          <w:szCs w:val="32"/>
          <w:lang w:val="en-US" w:eastAsia="zh-CN"/>
        </w:rPr>
        <w:t xml:space="preserve">      </w:t>
      </w:r>
      <w:r>
        <w:rPr>
          <w:rFonts w:eastAsia="华文楷体"/>
          <w:b/>
          <w:sz w:val="32"/>
          <w:szCs w:val="32"/>
        </w:rPr>
        <w:drawing>
          <wp:inline distT="0" distB="0" distL="114300" distR="114300">
            <wp:extent cx="4312285" cy="3108325"/>
            <wp:effectExtent l="0" t="0" r="12065" b="15875"/>
            <wp:docPr id="20" name="图片 6" descr="C:\Users\wuzc1\AppData\Local\Temp\WeChat Files\367315655706021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" descr="C:\Users\wuzc1\AppData\Local\Temp\WeChat Files\367315655706021276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2285" cy="3108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eastAsia="华文楷体"/>
          <w:b/>
          <w:sz w:val="32"/>
          <w:szCs w:val="32"/>
        </w:rPr>
      </w:pPr>
      <w:r>
        <w:rPr>
          <w:rFonts w:eastAsia="华文楷体"/>
          <w:b/>
          <w:sz w:val="32"/>
          <w:szCs w:val="32"/>
        </w:rPr>
        <w:drawing>
          <wp:inline distT="0" distB="0" distL="114300" distR="114300">
            <wp:extent cx="4492625" cy="3506470"/>
            <wp:effectExtent l="0" t="0" r="3175" b="17780"/>
            <wp:docPr id="21" name="图片 7" descr="C:\Users\wuzc1\AppData\Local\Temp\WeChat Files\197653797221958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7" descr="C:\Users\wuzc1\AppData\Local\Temp\WeChat Files\197653797221958992.jp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92625" cy="3506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Ansi="华文楷体" w:eastAsia="华文楷体"/>
          <w:b/>
          <w:sz w:val="32"/>
          <w:szCs w:val="32"/>
        </w:rPr>
      </w:pPr>
    </w:p>
    <w:p>
      <w:pPr>
        <w:jc w:val="center"/>
        <w:rPr>
          <w:rFonts w:hAnsi="华文楷体" w:eastAsia="华文楷体"/>
          <w:b/>
          <w:sz w:val="32"/>
          <w:szCs w:val="32"/>
        </w:rPr>
      </w:pPr>
      <w:r>
        <w:rPr>
          <w:rFonts w:hAnsi="华文楷体" w:eastAsia="华文楷体"/>
          <w:b/>
          <w:sz w:val="32"/>
          <w:szCs w:val="32"/>
        </w:rPr>
        <w:t>方案2改装配置表</w:t>
      </w:r>
    </w:p>
    <w:tbl>
      <w:tblPr>
        <w:tblStyle w:val="4"/>
        <w:tblW w:w="81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5514"/>
        <w:gridCol w:w="13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改装项目名称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多功能操作实验台</w:t>
            </w: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1.在车厢后部侧边设置工作台一个，可折叠，也可拉伸至车厢外，宽度≥30cm，承重≥50kg。（具体长度根据车厢空间调整）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2.在车厢后部侧边设置可折叠工作凳2个，面向工作台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逆变器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蓄电池：</w:t>
            </w:r>
            <w:r>
              <w:rPr>
                <w:rFonts w:eastAsia="仿宋_GB2312"/>
                <w:sz w:val="24"/>
              </w:rPr>
              <w:t>输出220V电压，功率2KW,持续供电3小时以上，可通过车辆发动机进行充电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电脑控制充电器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电鼓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5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多功能排插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5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充电线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电磁式电源总开关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灭火器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电线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电池头（铜）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2个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spacing w:before="0" w:after="0" w:line="600" w:lineRule="exact"/>
        <w:rPr>
          <w:rFonts w:hint="eastAsia" w:ascii="Times New Roman" w:eastAsia="宋体"/>
          <w:b w:val="0"/>
          <w:bCs w:val="0"/>
          <w:lang w:eastAsia="zh-CN"/>
        </w:rPr>
      </w:pPr>
      <w:r>
        <w:rPr>
          <w:rFonts w:hint="eastAsia" w:ascii="Times New Roman"/>
          <w:b w:val="0"/>
          <w:bCs w:val="0"/>
          <w:lang w:eastAsia="zh-CN"/>
        </w:rPr>
        <w:t>附件</w:t>
      </w:r>
      <w:r>
        <w:rPr>
          <w:rFonts w:hint="eastAsia" w:ascii="Times New Roman"/>
          <w:b w:val="0"/>
          <w:bCs w:val="0"/>
          <w:lang w:val="en-US" w:eastAsia="zh-CN"/>
        </w:rPr>
        <w:t>2</w:t>
      </w:r>
    </w:p>
    <w:p>
      <w:pPr>
        <w:pStyle w:val="3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快检项目</w:t>
      </w:r>
    </w:p>
    <w:p/>
    <w:tbl>
      <w:tblPr>
        <w:tblStyle w:val="4"/>
        <w:tblW w:w="9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1419"/>
        <w:gridCol w:w="3896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tblHeader/>
          <w:jc w:val="center"/>
        </w:trPr>
        <w:tc>
          <w:tcPr>
            <w:tcW w:w="351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品种</w:t>
            </w:r>
          </w:p>
        </w:tc>
        <w:tc>
          <w:tcPr>
            <w:tcW w:w="38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检验项目</w:t>
            </w:r>
          </w:p>
        </w:tc>
        <w:tc>
          <w:tcPr>
            <w:tcW w:w="1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快检方法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tblHeader/>
          <w:jc w:val="center"/>
        </w:trPr>
        <w:tc>
          <w:tcPr>
            <w:tcW w:w="351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蔬菜+水果（食用农产品）</w:t>
            </w:r>
          </w:p>
        </w:tc>
        <w:tc>
          <w:tcPr>
            <w:tcW w:w="38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有机磷类和氨基甲酸酯类农药</w:t>
            </w:r>
          </w:p>
        </w:tc>
        <w:tc>
          <w:tcPr>
            <w:tcW w:w="1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分光光度法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tblHeader/>
          <w:jc w:val="center"/>
        </w:trPr>
        <w:tc>
          <w:tcPr>
            <w:tcW w:w="2095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畜禽产品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（食用农产品）</w:t>
            </w:r>
          </w:p>
        </w:tc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畜产品</w:t>
            </w:r>
          </w:p>
        </w:tc>
        <w:tc>
          <w:tcPr>
            <w:tcW w:w="38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盐酸克伦特罗、莱克多巴胺、沙丁胺醇、氯霉素</w:t>
            </w:r>
          </w:p>
        </w:tc>
        <w:tc>
          <w:tcPr>
            <w:tcW w:w="1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胶体金法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tblHeader/>
          <w:jc w:val="center"/>
        </w:trPr>
        <w:tc>
          <w:tcPr>
            <w:tcW w:w="209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水分</w:t>
            </w:r>
          </w:p>
        </w:tc>
        <w:tc>
          <w:tcPr>
            <w:tcW w:w="1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仪器法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tblHeader/>
          <w:jc w:val="center"/>
        </w:trPr>
        <w:tc>
          <w:tcPr>
            <w:tcW w:w="209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禽产品</w:t>
            </w:r>
          </w:p>
        </w:tc>
        <w:tc>
          <w:tcPr>
            <w:tcW w:w="38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己烯雌酚、氯霉素</w:t>
            </w:r>
          </w:p>
        </w:tc>
        <w:tc>
          <w:tcPr>
            <w:tcW w:w="1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胶体金法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tblHeader/>
          <w:jc w:val="center"/>
        </w:trPr>
        <w:tc>
          <w:tcPr>
            <w:tcW w:w="2095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水产品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（食用农产品）</w:t>
            </w:r>
          </w:p>
        </w:tc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虾和贝类</w:t>
            </w:r>
          </w:p>
        </w:tc>
        <w:tc>
          <w:tcPr>
            <w:tcW w:w="38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硝基呋喃代谢产物-呋喃唑酮（AOZ）、氯霉素、硝基呋喃代谢物-呋喃西林（SEM）</w:t>
            </w:r>
          </w:p>
        </w:tc>
        <w:tc>
          <w:tcPr>
            <w:tcW w:w="1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胶体金法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209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鱼类</w:t>
            </w:r>
          </w:p>
        </w:tc>
        <w:tc>
          <w:tcPr>
            <w:tcW w:w="38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硝基呋喃代谢产物-呋喃唑酮（AOZ）、孔雀石绿、硝基呋喃代谢物-呋喃西林（SEM）</w:t>
            </w:r>
          </w:p>
        </w:tc>
        <w:tc>
          <w:tcPr>
            <w:tcW w:w="1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胶体金法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3514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食品</w:t>
            </w:r>
          </w:p>
        </w:tc>
        <w:tc>
          <w:tcPr>
            <w:tcW w:w="38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甲醇</w:t>
            </w:r>
          </w:p>
        </w:tc>
        <w:tc>
          <w:tcPr>
            <w:tcW w:w="1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分光光度法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3514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硼砂</w:t>
            </w:r>
          </w:p>
        </w:tc>
        <w:tc>
          <w:tcPr>
            <w:tcW w:w="1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分光光度法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3514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吊白块</w:t>
            </w:r>
          </w:p>
        </w:tc>
        <w:tc>
          <w:tcPr>
            <w:tcW w:w="1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分光光度法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3514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亚硝酸盐</w:t>
            </w:r>
          </w:p>
        </w:tc>
        <w:tc>
          <w:tcPr>
            <w:tcW w:w="1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分光光度法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3514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二氧化硫</w:t>
            </w:r>
          </w:p>
        </w:tc>
        <w:tc>
          <w:tcPr>
            <w:tcW w:w="1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分光光度法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3514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甲醛</w:t>
            </w:r>
          </w:p>
        </w:tc>
        <w:tc>
          <w:tcPr>
            <w:tcW w:w="1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分光光度法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3514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过氧化氢</w:t>
            </w:r>
          </w:p>
        </w:tc>
        <w:tc>
          <w:tcPr>
            <w:tcW w:w="1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分光光度法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3514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明矾</w:t>
            </w:r>
          </w:p>
        </w:tc>
        <w:tc>
          <w:tcPr>
            <w:tcW w:w="1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分光光度法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3514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食用油极性组分</w:t>
            </w:r>
          </w:p>
        </w:tc>
        <w:tc>
          <w:tcPr>
            <w:tcW w:w="1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仪器法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3514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黄曲霉毒素M1</w:t>
            </w:r>
          </w:p>
        </w:tc>
        <w:tc>
          <w:tcPr>
            <w:tcW w:w="1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胶体金法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3514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黄曲霉毒素B1</w:t>
            </w:r>
          </w:p>
        </w:tc>
        <w:tc>
          <w:tcPr>
            <w:tcW w:w="1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胶体金法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</w:p>
    <w:p>
      <w:pPr>
        <w:pStyle w:val="6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食品安全快检室设备设施清单及参数</w:t>
      </w:r>
    </w:p>
    <w:tbl>
      <w:tblPr>
        <w:tblStyle w:val="4"/>
        <w:tblW w:w="14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"/>
        <w:gridCol w:w="647"/>
        <w:gridCol w:w="1387"/>
        <w:gridCol w:w="10406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主要参数要求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2个快检室数量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基础设施类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实验边台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采用钢木结构，即金属框架与木制柜体组成。应具有绝缘、耐磨、耐腐蚀、耐火、耐高温、防水及易清洗等性能，实验台面通常采用环氧树脂板。（符合国家环保要求）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2、宽度为750mm，高度为760mm（适合坐姿操作），长度根据实际需求匹配（一般为750mm的倍数）。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（最终以实际为准）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水龙头水槽配置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槽采用优质高密度黑色纯PP一体成型，并耐酸碱、耐热及有机溶剂，采用台下式安装；水龙头采用品牌实验室专用化验水嘴，加厚铜质，耐腐蚀、耐热、防紫外线辐射；可拆卸清洗阻塞，具有缓压作用，可加接防溅滤水器。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滴水架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高密度PP材质，单面，底部托盘中间设有排水孔，可拆卸式滴水棒，具有锁扣功能，壁挂式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试剂柜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1、规格尺寸：（长）900mm*（宽）450mm*（高）1800mm；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2、可存放强酸、强腐蚀的化学品，防渗漏，聚丙烯结构，双开门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档案柜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1、规格尺寸：（长）900mm*（宽）450mm*（高）1800mm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2、整体灰白，U型铝合金拉手，柜体18mm厚，三聚氰胺饰面板，优质胶链，四块层板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更衣柜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1、规格尺寸：900mm（长度）×400mm（宽度）×1800mm（高度）；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2、材质及参数：0.5-1.2mm优质冷轧钢钢板材ABS塑料拉手；对开门，表面涂层坚固耐 用，耐冲压，耐腐蚀，整洁美观，不易燃、防潮不变形。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通风柜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全钢结构，台面要求实验室专用实芯理化板（防腐耐酸碱）, 电子装置、照明开关，触摸式开关，配220V，10A多功能插座两个。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紧急喷淋洗眼器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主体及底座材质：304不锈钢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规格尺寸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顶高：2300mm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喷头装置：高2100mm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洗眼装置：高1050mm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底座：205mm*135mm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进水口尺寸：RCI-1/4（1.2寸/DN32）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排水口尺寸：RCI-1/4（1.2寸/DN32）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洗眼喷头流量：＞12L/min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工作压力：2Mpa—4Mpa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5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办公桌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1、外形尺寸：（长）1300*（宽）650*（高）760mm；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2、桌面采用优质防火板，经过防虫、防腐的化学处理，具有防潮、防蛀性能；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3、板材：选用E1级三聚氰胺板，甲醛含量≤0.05ml/L，贴面平整，无起泡、坑凹，所有板材均经过防虫、防腐化学处理，强度高、刚性好、不变形、比重合理，符合国家环保要求，台面厚度不小于25mm；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4、柜体采用0.8mm优质冷轧钢板，喷涂后0.8mm；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5、抽屉，暗锁，优质滑轨，桌子箱体部分静电喷涂。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0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1、面料：表面采用优质环保高强度涤纶网面，纹理细腻，舒适柔软，具有耐污、耐磨、防尘、易清洁等特点；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2、泡棉：采用优质定型压缩海绵，密度为35#标准以上，软硬适中，圆润厚实、弹性好，表面涂有防止老化变形保护膜，不变性，坐感舒适；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3、脚架：弓形电镀钢架。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实验凳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1、皮革+不锈钢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2、无靠背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3、气压升降凳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1、CPU型号:双核、速度≥2.6GHZ，不低于酷睿i5水平。</w:t>
            </w:r>
          </w:p>
          <w:p>
            <w:pPr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2、屏幕尺寸:≥ 21英寸。</w:t>
            </w:r>
          </w:p>
          <w:p>
            <w:pPr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3、分辨率: 1920×1080。</w:t>
            </w:r>
          </w:p>
          <w:p>
            <w:pPr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4、内存容量≥8G。</w:t>
            </w:r>
          </w:p>
          <w:p>
            <w:pPr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5、硬盘容量≥ 1T（机械硬盘）或256G（固态硬盘）。</w:t>
            </w:r>
          </w:p>
          <w:p>
            <w:pPr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6、显卡：独立显卡≥2G以上。</w:t>
            </w:r>
          </w:p>
          <w:p>
            <w:pPr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7、键盘鼠标：标配有线键盘鼠标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8、预装正版office办公软件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1、彩色激光打印机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2、分辨率：5760×1440dpi。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3、最大打印幅面：A4。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4、纸张容量：≥50页。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5、墨盒：5%覆盖下打印10000张A4所需墨盒量。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6、打印速度：黑白≥22ppm，彩色≥18ppm。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7、产品重量：≤3.5kg。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0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1、壁挂式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2、制热功率：≥1260W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3、制热量：≥4600W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4、制冷量：≥3500W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5、制冷功率：≥810W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6、电辅加热功率：≥41000W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立式冰箱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1、双开门或三开门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2、冷冻室：≥60L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3、冷藏室：≥120L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1、尺寸：≥65英寸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2、分辨率：4K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3、支持网络和USB连接播放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LED显示屏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不低于以下配置：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全彩屏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像素点间距：4.00mm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像素构成：1R1G1B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箱体分辨率：128*128=16384Dots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尺寸：≥55英寸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不锈钢长凳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1、尺寸：（长）2300mm*（宽）650mm*（高）780mm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2、材质：不锈钢材质，软垫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宣传资料架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1、尺寸：高度≥1000mm、宽度≥500mm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2、材质：木制或不锈钢材质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饮水机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整机高度≥1米（不含桶装水高度）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额定制热水能力：≥90℃ 4L/h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整体可拆卸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高精度室内用，温度显示范围：-10℃至50℃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湿度显示范围：10%至90%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温度显示精度：±1℃（1.8°F）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湿度显示精度：±5%（40-80%）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产品尺寸：≤93*100*21mm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1、干粉灭火器≥2kg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2、泡沫灭火器≥3L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3、安全性能符合国家相应标准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采样工具类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食品采样箱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1、容积：≥40L；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2、拉杆式；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3、带数显温度计；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4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前处理设备类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超声波清洗机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1、超声波频率≥40,000 Hz；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2、容量 ≥2L；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3、内槽选用不锈钢材质冲压成型，无焊接处；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4、加热温度控制 ：常温～80℃；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5、加热功率≥100W，具有完善的保护功能：过热保护和过流保护；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6、可调节时间不少于30min；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7、整机尺寸：≤300*200*250mm；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漩涡混合仪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1、电源：220V/50HZ。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2、功率：30-60W。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3、转速：≥2800转/分。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4、工作方式：点动、连续、调速。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5、工作台面材质：橡胶。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84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1、显示：LCD液晶显示/LED显示。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2、最大称量： ≥300g。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3、精确度：≤0.01g。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4、配置：高容量蓄电池，连续使用时间≥32小时。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5、连接电脑实时传输数据。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6、配置：防风罩、校准砝码(1g、5g、10g)。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7、外形尺寸：适合车载，小巧轻便。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恒温水浴锅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1、温度范围：室温至100℃。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2、精度：稳定以后测量±0.5℃。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3、加热功率：≥300W。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4、控温方式：数显控温。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5、机身抗腐蚀不锈钢材料。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6、容量2L-6L。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7、外形尺寸：≤440*200*240mm。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0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台式离心机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1、最高转速：≥4500r/min ，离心力≥2000xg；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2、定时范围：1～99min/连续/点动(瞬时)离心；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3、电机：直流无刷；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4、电源： Ac220V，50Hz；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5、整机噪声：≤70dB；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6、转子容量为10mL×12或15ml×6，且可适配2ml离心管；  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0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样品浓缩仪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1、加热孔：≥12孔；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2、体积：（长）350mm*（宽）260mm*（高）260mm；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3、孔深：≥55mm；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4、气源：自然空气，无需另备气源；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5、直径：16mm；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6、温度误差：≤±0.3℃；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7、气流量：0—36L/min；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8、安全性：对有机溶剂本质安全；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9、最大功率：250W；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10、加热范围：室温——100℃；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0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样品搅碎机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1、内胆材质：pc食用级塑料。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2、电源：220V/50Hz。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3、额定功率：250W。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4、转速：18000r/min。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5、配带杯体：绞肉杯、研磨杯、搅拌杯。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6、外形尺寸：小巧便携。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快检工具箱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铝合金箱体，内置应至少包括移液器（0-200ul）1支、移液器（0-1000ul）1支、移液器（1-5ml）1支、实验服1件、采样服1件、刀具1把、砧板1个、试管架1个、口罩1包、手套1盒等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0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4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快检仪器类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手持式劣质油检测仪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1、测量温度：0～200.0℃。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2、TPM(极性化合物组分含量)： 0.5～40%。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3、分辨率：温度分辨率：0.1℃ ，TPM分辨率：±0.1% 。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4、温度测量误差：± 1.5℃。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5、TPM测量精度：±2%。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6、TPM响应时间：＜15s。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7、温度传感器： PTC传感器。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8、TPM传感器：电容传感器。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9、操作外部环境温度：(0 ～+50 )℃。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10、探头材质：不锈钢。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11、显示方式：中文操作界面彩屏，显示屏不小于1.8寸，可显示检测日期时间。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0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肉质水分分析仪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1、测量范围：65～85%。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2、采样时间：一次采样时间＜1s。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3、采样次数：每10次采样输出一次测量结果或单次采样直接测量。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4、测量误差：在70～78%范围内≤1.0%。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5、重复性误差：在70～78%范围内≤ 0.5%。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6、电源：交直流两用(带可充锂电)。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7、功耗：45mW。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8、显示：蓝色背光 LCD(全中文显示)。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9、声光报警：超标报警。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10、可设定每个品种的判断标准。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0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多参数食品安全分析仪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1、主机(模块):包括但不限于分光光度模块、胶体金检测模块、数字化管理模块、无线通讯模块等,并可支持模块扩充升级。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2、仪器输入方式多样化：液晶触摸屏、键盘操作并可外接鼠标。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3、显示屏尺寸：≥10寸。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4、操作系统：windows系统或Android 系统。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5、存储： 1G以上内存，16G以上硬盘容量，并支持外部扩容。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6、打印：内置微型打印机(针式打印机或热敏打印机)，实现打印检测数据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7、电源：可直接使用 220V 交流电源或车载直流电源(12V)，也可使用内置锂电池供电，可保证快检系统在无交流电源情况下工作3小时以上。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8、分光光度检测模块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8.1、检测能力：可检测食品中常见的农药残留、易滥用添加剂、非食用物质、食品品质等指标。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8.2、检测通道不少于16个，至少包含410、440、520、540、595、660nm 6个波长光源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8.3、电流稳定性：≤±1%T/3 min。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8.4、透射比准确度：≤±1%T。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8.5、透射比重复性：≤±0.5%T。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8.6、线性误差：≤±5%。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9、胶体金免疫层析检测模块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9.1、检测能力：可检测食品中常见的兽药残留、生物毒素、违禁添加等。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9.2、扫描检测精度 CV≤2.0%。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便携式农药残留快速检测分析仪</w:t>
            </w:r>
          </w:p>
        </w:tc>
        <w:tc>
          <w:tcPr>
            <w:tcW w:w="104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1、测量通道数：≥12个；能多孔道同时操作，操作简便。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2、恒温温度：37℃—40℃；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3、反应时间：≤10分钟；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4、显色时间：≤3分钟；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5" w:name="_GoBack"/>
      <w:bookmarkEnd w:id="5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6D024"/>
    <w:multiLevelType w:val="singleLevel"/>
    <w:tmpl w:val="5E86D0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A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图"/>
    <w:basedOn w:val="1"/>
    <w:qFormat/>
    <w:uiPriority w:val="0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DevilsKiss</cp:lastModifiedBy>
  <dcterms:modified xsi:type="dcterms:W3CDTF">2020-04-14T02:12:30Z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